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0CB6" w14:textId="339966D4" w:rsidR="001C6753" w:rsidRDefault="001C6753">
      <w:pPr>
        <w:rPr>
          <w:rFonts w:cstheme="minorHAnsi"/>
        </w:rPr>
      </w:pPr>
      <w:r w:rsidRPr="00CC25A0">
        <w:rPr>
          <w:rFonts w:cstheme="minorHAnsi"/>
        </w:rPr>
        <w:t>Lisa 1</w:t>
      </w:r>
      <w:r>
        <w:rPr>
          <w:rFonts w:cstheme="minorHAnsi"/>
        </w:rPr>
        <w:t xml:space="preserve">. Arvamuste ja kooskõlastuste </w:t>
      </w:r>
      <w:r w:rsidRPr="00CC25A0">
        <w:rPr>
          <w:rFonts w:cstheme="minorHAnsi"/>
        </w:rPr>
        <w:t>koondtabel</w:t>
      </w:r>
    </w:p>
    <w:tbl>
      <w:tblPr>
        <w:tblStyle w:val="Kontuurtabel"/>
        <w:tblW w:w="0" w:type="auto"/>
        <w:tblLook w:val="04A0" w:firstRow="1" w:lastRow="0" w:firstColumn="1" w:lastColumn="0" w:noHBand="0" w:noVBand="1"/>
      </w:tblPr>
      <w:tblGrid>
        <w:gridCol w:w="1824"/>
        <w:gridCol w:w="2307"/>
        <w:gridCol w:w="5675"/>
        <w:gridCol w:w="4188"/>
      </w:tblGrid>
      <w:tr w:rsidR="001C6753" w14:paraId="3B5A2CF7" w14:textId="77777777" w:rsidTr="00CA66E9">
        <w:tc>
          <w:tcPr>
            <w:tcW w:w="1824" w:type="dxa"/>
          </w:tcPr>
          <w:p w14:paraId="528C0B1E" w14:textId="260B8F03" w:rsidR="001C6753" w:rsidRDefault="001C6753" w:rsidP="00CA66E9">
            <w:r>
              <w:t>Arvamuse kuupäev</w:t>
            </w:r>
            <w:r w:rsidR="0001662F">
              <w:t xml:space="preserve"> ja DHS nr</w:t>
            </w:r>
          </w:p>
        </w:tc>
        <w:tc>
          <w:tcPr>
            <w:tcW w:w="2307" w:type="dxa"/>
          </w:tcPr>
          <w:p w14:paraId="6193648C" w14:textId="77777777" w:rsidR="001C6753" w:rsidRDefault="001C6753" w:rsidP="00CA66E9">
            <w:r>
              <w:t>Arvamuse andja/kooskõlastaja</w:t>
            </w:r>
          </w:p>
        </w:tc>
        <w:tc>
          <w:tcPr>
            <w:tcW w:w="5675" w:type="dxa"/>
          </w:tcPr>
          <w:p w14:paraId="6E854937" w14:textId="77777777" w:rsidR="001C6753" w:rsidRDefault="001C6753" w:rsidP="00CA66E9">
            <w:r>
              <w:t>Arvamus/kooskõlastus</w:t>
            </w:r>
          </w:p>
        </w:tc>
        <w:tc>
          <w:tcPr>
            <w:tcW w:w="4188" w:type="dxa"/>
          </w:tcPr>
          <w:p w14:paraId="0A56B493" w14:textId="77777777" w:rsidR="001C6753" w:rsidRDefault="001C6753" w:rsidP="00CA66E9">
            <w:pPr>
              <w:jc w:val="center"/>
            </w:pPr>
            <w:r w:rsidRPr="0059015B">
              <w:t>Vallavalitsuse seisukoht</w:t>
            </w:r>
          </w:p>
        </w:tc>
      </w:tr>
      <w:tr w:rsidR="001C6753" w14:paraId="164A29EB" w14:textId="77777777" w:rsidTr="00CA66E9">
        <w:tc>
          <w:tcPr>
            <w:tcW w:w="1824" w:type="dxa"/>
          </w:tcPr>
          <w:p w14:paraId="0D7BD71A" w14:textId="77777777" w:rsidR="001C6753" w:rsidRDefault="001C6753" w:rsidP="00CA66E9">
            <w:r>
              <w:t>18.09.2025</w:t>
            </w:r>
          </w:p>
        </w:tc>
        <w:tc>
          <w:tcPr>
            <w:tcW w:w="2307" w:type="dxa"/>
          </w:tcPr>
          <w:p w14:paraId="62F7ABFA" w14:textId="77777777" w:rsidR="001C6753" w:rsidRPr="00400167" w:rsidRDefault="001C6753" w:rsidP="00CA66E9">
            <w:pPr>
              <w:jc w:val="both"/>
            </w:pPr>
            <w:r>
              <w:t>I.R.</w:t>
            </w:r>
          </w:p>
        </w:tc>
        <w:tc>
          <w:tcPr>
            <w:tcW w:w="5675" w:type="dxa"/>
          </w:tcPr>
          <w:p w14:paraId="528D841D" w14:textId="77777777" w:rsidR="001C6753" w:rsidRPr="00400167" w:rsidRDefault="001C6753" w:rsidP="00CA66E9">
            <w:pPr>
              <w:jc w:val="both"/>
            </w:pPr>
            <w:r w:rsidRPr="00400167">
              <w:t xml:space="preserve">Oleme tutvunud planeeringulahendusega. Peamiselt jääb segaseks, kuidas on planeeritud lahendada POS2kinnistu varustamine veega? Seletuskirjas tehnovõrkude osas öeldakse, et </w:t>
            </w:r>
          </w:p>
          <w:p w14:paraId="1A1234C3" w14:textId="77777777" w:rsidR="001C6753" w:rsidRPr="00400167" w:rsidRDefault="001C6753" w:rsidP="00CA66E9">
            <w:pPr>
              <w:jc w:val="both"/>
            </w:pPr>
            <w:r w:rsidRPr="00400167">
              <w:t>"Planeeritud Urmi kinnistu veevarustus on planeeritud uue puurkaevuga."</w:t>
            </w:r>
          </w:p>
          <w:p w14:paraId="477EE9B7" w14:textId="77777777" w:rsidR="001C6753" w:rsidRPr="00400167" w:rsidRDefault="001C6753" w:rsidP="00CA66E9">
            <w:pPr>
              <w:jc w:val="both"/>
            </w:pPr>
            <w:r w:rsidRPr="00400167">
              <w:t>Tehnovõrkude joonisel aga ei ole uut puurkaevu kuskile märgitud ning POS2 (Urmi) kinnistu veevarustus on</w:t>
            </w:r>
            <w:r>
              <w:t xml:space="preserve"> </w:t>
            </w:r>
            <w:r w:rsidRPr="00400167">
              <w:t>lahendatud POS1 (Lohu) olemasoleva veetorustiku abil, mis on olemasolev, ühendatud olemasolevasse Pihlakaja Kalda kinnistute puurkaevu.</w:t>
            </w:r>
          </w:p>
          <w:p w14:paraId="6AD8F941" w14:textId="77777777" w:rsidR="001C6753" w:rsidRPr="00400167" w:rsidRDefault="001C6753" w:rsidP="00CA66E9">
            <w:pPr>
              <w:jc w:val="both"/>
            </w:pPr>
            <w:r w:rsidRPr="00400167">
              <w:t>Pihlaka ja Kalda omanikena ei ole me nõus uue tarbijaga</w:t>
            </w:r>
            <w:r>
              <w:t xml:space="preserve"> </w:t>
            </w:r>
            <w:r w:rsidRPr="00400167">
              <w:t xml:space="preserve">meiega ühises torustikus, sest need ei ole kavandatud nii suure hulga tarbijate jaoks. </w:t>
            </w:r>
          </w:p>
          <w:p w14:paraId="20DF2269" w14:textId="77777777" w:rsidR="001C6753" w:rsidRDefault="001C6753" w:rsidP="00CA66E9">
            <w:pPr>
              <w:jc w:val="both"/>
            </w:pPr>
            <w:r w:rsidRPr="00400167">
              <w:t>Et aru saada, mida tegelikult kavandatakse ja esitada ka muid planeeringulahendust puudutavaid küsimusi,</w:t>
            </w:r>
            <w:r>
              <w:t xml:space="preserve"> </w:t>
            </w:r>
            <w:r w:rsidRPr="00400167">
              <w:t>teeme ettepaneku korraldada avalik arutelu planeeringulahenduse tutvustamiseks.</w:t>
            </w:r>
          </w:p>
        </w:tc>
        <w:tc>
          <w:tcPr>
            <w:tcW w:w="4188" w:type="dxa"/>
          </w:tcPr>
          <w:p w14:paraId="5FA0A3A3" w14:textId="77777777" w:rsidR="001C6753" w:rsidRPr="001C6753" w:rsidRDefault="001C6753" w:rsidP="00CA66E9">
            <w:pPr>
              <w:jc w:val="both"/>
              <w:rPr>
                <w:u w:val="single"/>
              </w:rPr>
            </w:pPr>
            <w:r w:rsidRPr="001C6753">
              <w:rPr>
                <w:u w:val="single"/>
              </w:rPr>
              <w:t xml:space="preserve">Arvestatud. </w:t>
            </w:r>
          </w:p>
          <w:p w14:paraId="1F2D3451" w14:textId="77777777" w:rsidR="001C6753" w:rsidRDefault="001C6753" w:rsidP="00CA66E9">
            <w:pPr>
              <w:jc w:val="both"/>
            </w:pPr>
            <w:r>
              <w:t xml:space="preserve">Planeeringulahendust on korrigeeritud. </w:t>
            </w:r>
            <w:r w:rsidRPr="002D68DF">
              <w:t>POS2 (Urmi) kinnistu veevarustus on lahendatud uue puurkaevuga. Uus kaev lisatud joonistele DP-J-4 ja DP-J-5.</w:t>
            </w:r>
          </w:p>
          <w:p w14:paraId="6C909AEB" w14:textId="77777777" w:rsidR="002D68DF" w:rsidRDefault="002D68DF" w:rsidP="00CA66E9">
            <w:pPr>
              <w:jc w:val="both"/>
            </w:pPr>
            <w:r>
              <w:t xml:space="preserve">Peale detailplaneeringu vastuvõtmist korraldatakse detailplaneeringu avalik väljapanek, mille jooksul on igal isikul võimalik detailplaneeringu lahendusega tutvuda </w:t>
            </w:r>
            <w:r w:rsidRPr="002D68DF">
              <w:t>õigus avaldada detailplaneeringu kohta arvamust.</w:t>
            </w:r>
            <w:r>
              <w:t xml:space="preserve"> </w:t>
            </w:r>
          </w:p>
          <w:p w14:paraId="2B37C9EC" w14:textId="4ABA96E6" w:rsidR="002D68DF" w:rsidRPr="00400167" w:rsidRDefault="002D68DF" w:rsidP="00CA66E9">
            <w:pPr>
              <w:jc w:val="both"/>
            </w:pPr>
            <w:r w:rsidRPr="002D68DF">
              <w:t xml:space="preserve">Avaliku arutelu korraldamine </w:t>
            </w:r>
            <w:r>
              <w:t xml:space="preserve">peale avalikku väljapanekut </w:t>
            </w:r>
            <w:r w:rsidRPr="002D68DF">
              <w:t>ei ole nõutav, kui detailplaneeringu kohta ei esitatud avaliku väljapaneku kestel kirjalikke arvamusi või kui kõik kirjalikult esitatud arvamused on arvesse võetud.</w:t>
            </w:r>
            <w:r>
              <w:t xml:space="preserve"> </w:t>
            </w:r>
          </w:p>
        </w:tc>
      </w:tr>
      <w:tr w:rsidR="001C6753" w14:paraId="41171F79" w14:textId="77777777" w:rsidTr="00CA66E9">
        <w:tc>
          <w:tcPr>
            <w:tcW w:w="1824" w:type="dxa"/>
          </w:tcPr>
          <w:p w14:paraId="3636E547" w14:textId="77777777" w:rsidR="001C6753" w:rsidRPr="003D7A5E" w:rsidRDefault="001C6753" w:rsidP="00CA66E9">
            <w:r w:rsidRPr="005E31F8">
              <w:t>16.09.2025 nr 7.2-2/25/22006-4</w:t>
            </w:r>
          </w:p>
        </w:tc>
        <w:tc>
          <w:tcPr>
            <w:tcW w:w="2307" w:type="dxa"/>
          </w:tcPr>
          <w:p w14:paraId="7306A484" w14:textId="77777777" w:rsidR="001C6753" w:rsidRDefault="001C6753" w:rsidP="00CA66E9">
            <w:pPr>
              <w:jc w:val="both"/>
            </w:pPr>
            <w:r>
              <w:t>Transpordiamet</w:t>
            </w:r>
          </w:p>
        </w:tc>
        <w:tc>
          <w:tcPr>
            <w:tcW w:w="5675" w:type="dxa"/>
          </w:tcPr>
          <w:p w14:paraId="60E23FFB" w14:textId="77777777" w:rsidR="001C6753" w:rsidRPr="005E31F8" w:rsidRDefault="001C6753" w:rsidP="00CA66E9">
            <w:pPr>
              <w:jc w:val="both"/>
            </w:pPr>
            <w:r w:rsidRPr="005E31F8">
              <w:t xml:space="preserve">Võttes aluseks ehitusseadustiku (EhS) ja planeerimisseaduse </w:t>
            </w:r>
            <w:r w:rsidRPr="005E31F8">
              <w:rPr>
                <w:b/>
                <w:bCs/>
              </w:rPr>
              <w:t>kooskõlastame planeeringu tingimusel</w:t>
            </w:r>
            <w:r w:rsidRPr="005E31F8">
              <w:t xml:space="preserve">, et planeeringut korrigeeritakse järgmiselt. </w:t>
            </w:r>
          </w:p>
          <w:p w14:paraId="62BD6CE7" w14:textId="77777777" w:rsidR="001C6753" w:rsidRPr="005E31F8" w:rsidRDefault="001C6753" w:rsidP="00CA66E9">
            <w:pPr>
              <w:jc w:val="both"/>
            </w:pPr>
            <w:r w:rsidRPr="005E31F8">
              <w:t xml:space="preserve">1. Eemaldada planeeringu põhi- ja tehnovõrkude joonistelt (vastavalt Lisa 2 ja 3) tähis „kõrvalmaantee kaitsevöönd 10 m“ ning korrigeerida vastavalt ka </w:t>
            </w:r>
            <w:r w:rsidRPr="005E31F8">
              <w:lastRenderedPageBreak/>
              <w:t xml:space="preserve">tingmärkide loetelu. Vastavalt EhS § 71 lg 2 on antud asukohas riigitee kaitsevöönd 30 m mõlemal pool riigiteed arvestatuna äärmise sõiduraja välimisest servast. </w:t>
            </w:r>
          </w:p>
          <w:p w14:paraId="1807C944" w14:textId="77777777" w:rsidR="001C6753" w:rsidRPr="005E31F8" w:rsidRDefault="001C6753" w:rsidP="00CA66E9">
            <w:pPr>
              <w:jc w:val="both"/>
            </w:pPr>
            <w:r w:rsidRPr="005E31F8">
              <w:t xml:space="preserve">2. Kanda planeeringu põhijoonisele (Lisa 2) riigitee ristumiskoha nähtavuskolmnurgad vastavalt meie seisukohtade p 5. Vajadusel näha ette riigitee äärse heki (osaline) eemaldamine ja/või piiramine. </w:t>
            </w:r>
          </w:p>
          <w:p w14:paraId="7DC0E607" w14:textId="77777777" w:rsidR="001C6753" w:rsidRPr="005E31F8" w:rsidRDefault="001C6753" w:rsidP="00CA66E9">
            <w:pPr>
              <w:jc w:val="both"/>
            </w:pPr>
            <w:r w:rsidRPr="005E31F8">
              <w:t xml:space="preserve">3. Planeeringu seletuskirja (Lisa 1) lk 19 p 5.15.2 „Planeeringu elluviimise kokkulepped“ on sätestatud planeeringu elluviimiseks järgmised tingimused (elluviimise etapid), kus alajaotuse p 1 on kirjas: </w:t>
            </w:r>
            <w:r w:rsidRPr="005E31F8">
              <w:rPr>
                <w:i/>
                <w:iCs/>
              </w:rPr>
              <w:t xml:space="preserve">Arendusega seotud teed tuleb rajada ning nähtavust piiravad takistused kõrvaldada /…/. </w:t>
            </w:r>
            <w:r w:rsidRPr="005E31F8">
              <w:t xml:space="preserve">Palume korrigeerida nimetatud lauset järgmiselt: </w:t>
            </w:r>
            <w:r w:rsidRPr="005E31F8">
              <w:rPr>
                <w:i/>
                <w:iCs/>
              </w:rPr>
              <w:t xml:space="preserve">Riigitee ristumiskoht tuleb remontida, nähtavust piiravad takistused kõrvaldada ning kinnistusisene juurdepääsutee rajada /…/ enne planeeringualale kavandatava mis tahes ehitusloa kohustusliku hoone või rajatise ehitamise alustamist. </w:t>
            </w:r>
          </w:p>
          <w:p w14:paraId="6C45A0D0" w14:textId="77777777" w:rsidR="001C6753" w:rsidRPr="005E31F8" w:rsidRDefault="001C6753" w:rsidP="00CA66E9">
            <w:pPr>
              <w:jc w:val="both"/>
            </w:pPr>
            <w:r w:rsidRPr="005E31F8">
              <w:t xml:space="preserve">4. Planeeringu seletuskirja (Lisa 1) lk 19 p 5.15.2 „Planeeringu elluviimise kokkulepped“ on sätestatud planeeringu elluviimiseks järgmised tingimused (elluviimise etapid), kus alajaotuse p 2 on kirjas: </w:t>
            </w:r>
            <w:r w:rsidRPr="005E31F8">
              <w:rPr>
                <w:i/>
                <w:iCs/>
              </w:rPr>
              <w:t xml:space="preserve">Hoonestuse ja selle teenindamiseks vajaliku taristu (veeühendus, reoveelahendus, elektrivarustus, riigiteelt mahasõit) projekteerimine. </w:t>
            </w:r>
          </w:p>
          <w:p w14:paraId="46373895" w14:textId="77777777" w:rsidR="001C6753" w:rsidRPr="005E31F8" w:rsidRDefault="001C6753" w:rsidP="00CA66E9">
            <w:pPr>
              <w:jc w:val="both"/>
            </w:pPr>
          </w:p>
          <w:p w14:paraId="4F82910F" w14:textId="77777777" w:rsidR="001C6753" w:rsidRPr="005E31F8" w:rsidRDefault="001C6753" w:rsidP="00CA66E9">
            <w:pPr>
              <w:jc w:val="both"/>
            </w:pPr>
            <w:r w:rsidRPr="005E31F8">
              <w:t xml:space="preserve">Juhime tähelepanu, et riigiteelt mahasõitu ei ole siiski vaja projekteerida – tegemist on olemasoleva </w:t>
            </w:r>
            <w:r w:rsidRPr="005E31F8">
              <w:lastRenderedPageBreak/>
              <w:t>mahasõiduga, mida on vaja remontida ning remontimiseks ei ole vaja koostada projekti. Kirjeldada planeeringu seletuskirjas sobivas kohas (nt p 5.6 „Tänavate maa-alad, liiklus- ja parkimiskorraldus“ riigitee ristumiskoha remontimist vastavalt meie näidislahendusele, mille edastasime oma seisukohtade lisas. Tuua välja ristumiskoha</w:t>
            </w:r>
            <w:r>
              <w:t xml:space="preserve"> </w:t>
            </w:r>
            <w:r w:rsidRPr="005E31F8">
              <w:t xml:space="preserve">parameetrid (juurdepääsutee laius ja pöördkõverad, lisaks määratleda ka ristumiskoha katte tüüp (kruuskate või 2x pinnatud freespurukate). Soovi korral võib lisada meie näidislahenduse planeeringu materjalidele. Oluline on, et planeeringu materjalidest tuleks selgelt ning üheselt mõistetavalt välja riigitee ristumiskoha remontimise vajadus, remondi läbiviimise tingimused (remontimise järgselt riigitee ristumiskoha parameetrid ja kate) ning tähtaeg (enne planeeringualal mis tahes ehitusloa kohustusliku hoone või rajatise ehitamise alustamist). </w:t>
            </w:r>
          </w:p>
          <w:p w14:paraId="5F03B9A0" w14:textId="77777777" w:rsidR="001C6753" w:rsidRPr="005E31F8" w:rsidRDefault="001C6753" w:rsidP="00CA66E9">
            <w:pPr>
              <w:jc w:val="both"/>
            </w:pPr>
            <w:r w:rsidRPr="005E31F8">
              <w:t xml:space="preserve">Muuhulgas juhime tähelepanu, et planeeringu seletuskirja tiitellehel on planeeringu nimetuse all planeeringuala aadressiks märgitud: </w:t>
            </w:r>
            <w:r w:rsidRPr="005E31F8">
              <w:rPr>
                <w:i/>
                <w:iCs/>
              </w:rPr>
              <w:t xml:space="preserve">Vahema tee, Vahema tee L2, Viimsi alevik, Harju maakond </w:t>
            </w:r>
          </w:p>
          <w:p w14:paraId="2CF50C6A" w14:textId="77777777" w:rsidR="001C6753" w:rsidRPr="005E31F8" w:rsidRDefault="001C6753" w:rsidP="00CA66E9">
            <w:pPr>
              <w:jc w:val="both"/>
            </w:pPr>
            <w:r w:rsidRPr="005E31F8">
              <w:t xml:space="preserve">Planeeringu elluviimisel palume arvestada järgnevaga. </w:t>
            </w:r>
          </w:p>
          <w:p w14:paraId="4FE9F774" w14:textId="77777777" w:rsidR="001C6753" w:rsidRPr="005E31F8" w:rsidRDefault="001C6753" w:rsidP="00CA66E9">
            <w:pPr>
              <w:jc w:val="both"/>
            </w:pPr>
            <w:r w:rsidRPr="005E31F8">
              <w:t xml:space="preserve">1. Kõik riigitee kaitsevööndis kavandatud ehitusloa kohustusega tööde projektid tuleb esitada meile nõusoleku saamiseks. </w:t>
            </w:r>
          </w:p>
          <w:p w14:paraId="5DC6F8C7" w14:textId="77777777" w:rsidR="001C6753" w:rsidRPr="005E31F8" w:rsidRDefault="001C6753" w:rsidP="00CA66E9">
            <w:pPr>
              <w:jc w:val="both"/>
            </w:pPr>
            <w:r w:rsidRPr="005E31F8">
              <w:t xml:space="preserve">2. Kui kohalik omavalitsus annab planeeringualal projekteerimistingimusi EhS § 27 alusel või </w:t>
            </w:r>
            <w:r w:rsidRPr="005E31F8">
              <w:lastRenderedPageBreak/>
              <w:t xml:space="preserve">kavandatakse muudatusi riigitee kaitsevööndis, siis palume meid kaasata menetlusse. </w:t>
            </w:r>
          </w:p>
          <w:p w14:paraId="3542C9C1" w14:textId="77777777" w:rsidR="001C6753" w:rsidRPr="00400167" w:rsidRDefault="001C6753" w:rsidP="00CA66E9">
            <w:pPr>
              <w:jc w:val="both"/>
            </w:pPr>
          </w:p>
        </w:tc>
        <w:tc>
          <w:tcPr>
            <w:tcW w:w="4188" w:type="dxa"/>
          </w:tcPr>
          <w:p w14:paraId="4BEB01A0" w14:textId="1FC8DEBD" w:rsidR="001C6753" w:rsidRPr="001C6753" w:rsidRDefault="001C6753" w:rsidP="00CA66E9">
            <w:pPr>
              <w:pStyle w:val="Default"/>
              <w:jc w:val="both"/>
              <w:rPr>
                <w:rFonts w:asciiTheme="minorHAnsi" w:hAnsiTheme="minorHAnsi" w:cstheme="minorBidi"/>
                <w:color w:val="auto"/>
                <w:kern w:val="2"/>
                <w:u w:val="single"/>
              </w:rPr>
            </w:pPr>
            <w:r w:rsidRPr="001C6753">
              <w:rPr>
                <w:rFonts w:asciiTheme="minorHAnsi" w:hAnsiTheme="minorHAnsi" w:cstheme="minorBidi"/>
                <w:color w:val="auto"/>
                <w:kern w:val="2"/>
                <w:u w:val="single"/>
              </w:rPr>
              <w:lastRenderedPageBreak/>
              <w:t>Arvestatud.</w:t>
            </w:r>
          </w:p>
          <w:p w14:paraId="5E42B453" w14:textId="30B286D2" w:rsidR="001C6753" w:rsidRPr="0059015B" w:rsidRDefault="001C6753" w:rsidP="00CA66E9">
            <w:pPr>
              <w:pStyle w:val="Default"/>
              <w:jc w:val="both"/>
              <w:rPr>
                <w:rFonts w:asciiTheme="minorHAnsi" w:hAnsiTheme="minorHAnsi" w:cstheme="minorBidi"/>
                <w:color w:val="auto"/>
                <w:kern w:val="2"/>
              </w:rPr>
            </w:pPr>
            <w:r w:rsidRPr="0059015B">
              <w:rPr>
                <w:rFonts w:asciiTheme="minorHAnsi" w:hAnsiTheme="minorHAnsi" w:cstheme="minorBidi"/>
                <w:color w:val="auto"/>
                <w:kern w:val="2"/>
              </w:rPr>
              <w:t xml:space="preserve">Planeeringulahendust on vastavalt täiendatud. </w:t>
            </w:r>
          </w:p>
          <w:p w14:paraId="400CAB5F" w14:textId="77777777" w:rsidR="001C6753" w:rsidRPr="005E31F8" w:rsidRDefault="001C6753" w:rsidP="00CA66E9">
            <w:pPr>
              <w:jc w:val="both"/>
            </w:pPr>
          </w:p>
        </w:tc>
      </w:tr>
      <w:tr w:rsidR="001C6753" w14:paraId="338E20A5" w14:textId="77777777" w:rsidTr="00CA66E9">
        <w:tc>
          <w:tcPr>
            <w:tcW w:w="1824" w:type="dxa"/>
          </w:tcPr>
          <w:p w14:paraId="2F1F3522" w14:textId="77777777" w:rsidR="001C6753" w:rsidRPr="005E31F8" w:rsidRDefault="001C6753" w:rsidP="00CA66E9">
            <w:r>
              <w:lastRenderedPageBreak/>
              <w:t>09.01.2026</w:t>
            </w:r>
          </w:p>
        </w:tc>
        <w:tc>
          <w:tcPr>
            <w:tcW w:w="2307" w:type="dxa"/>
          </w:tcPr>
          <w:p w14:paraId="5B461A77" w14:textId="77777777" w:rsidR="001C6753" w:rsidRDefault="001C6753" w:rsidP="00CA66E9">
            <w:pPr>
              <w:jc w:val="both"/>
            </w:pPr>
            <w:r>
              <w:t>Päästeamet (</w:t>
            </w:r>
            <w:r w:rsidRPr="003765AF">
              <w:t>Pjotr Vorobjov</w:t>
            </w:r>
            <w:r>
              <w:t>)</w:t>
            </w:r>
          </w:p>
        </w:tc>
        <w:tc>
          <w:tcPr>
            <w:tcW w:w="5675" w:type="dxa"/>
          </w:tcPr>
          <w:p w14:paraId="2B721B27" w14:textId="56915C53" w:rsidR="001C6753" w:rsidRPr="005E31F8" w:rsidRDefault="00B2556F" w:rsidP="00CA66E9">
            <w:pPr>
              <w:jc w:val="both"/>
            </w:pPr>
            <w:r>
              <w:t>D</w:t>
            </w:r>
            <w:r w:rsidR="001C6753" w:rsidRPr="003765AF">
              <w:t>igitaalselt kooskõlastatud planeeringu failid</w:t>
            </w:r>
          </w:p>
        </w:tc>
        <w:tc>
          <w:tcPr>
            <w:tcW w:w="4188" w:type="dxa"/>
          </w:tcPr>
          <w:p w14:paraId="53886B6D" w14:textId="5C176B9C" w:rsidR="001C6753" w:rsidRPr="003765AF" w:rsidRDefault="00B2556F" w:rsidP="00CA66E9">
            <w:pPr>
              <w:jc w:val="both"/>
            </w:pPr>
            <w:r>
              <w:t>Arvestatud.</w:t>
            </w:r>
          </w:p>
        </w:tc>
      </w:tr>
      <w:tr w:rsidR="001C6753" w14:paraId="63AB14F5" w14:textId="77777777" w:rsidTr="00CA66E9">
        <w:tc>
          <w:tcPr>
            <w:tcW w:w="1824" w:type="dxa"/>
          </w:tcPr>
          <w:p w14:paraId="6E8730EE" w14:textId="77777777" w:rsidR="001C6753" w:rsidRPr="005E31F8" w:rsidRDefault="001C6753" w:rsidP="00CA66E9">
            <w:r w:rsidRPr="006A499F">
              <w:t>20.03.2026 nr 6-2/26/459-4</w:t>
            </w:r>
          </w:p>
        </w:tc>
        <w:tc>
          <w:tcPr>
            <w:tcW w:w="2307" w:type="dxa"/>
          </w:tcPr>
          <w:p w14:paraId="536D163E" w14:textId="77777777" w:rsidR="001C6753" w:rsidRDefault="001C6753" w:rsidP="00CA66E9">
            <w:pPr>
              <w:jc w:val="both"/>
            </w:pPr>
            <w:r>
              <w:t>Keskkonnaamet</w:t>
            </w:r>
          </w:p>
        </w:tc>
        <w:tc>
          <w:tcPr>
            <w:tcW w:w="5675" w:type="dxa"/>
          </w:tcPr>
          <w:p w14:paraId="1AFB2510" w14:textId="77777777" w:rsidR="001C6753" w:rsidRPr="005E31F8" w:rsidRDefault="001C6753" w:rsidP="00CA66E9">
            <w:pPr>
              <w:jc w:val="both"/>
            </w:pPr>
            <w:r w:rsidRPr="006A499F">
              <w:t>Esitatud planeeringus on arvestatud Keskkonnaameti poolt 09.02.2026 varasemalt kirjaga nr 6-2/26/459-2 esitatud seisukohtadega ning detailplaneeringu jooniseid ning seletuskirja on täiendatud märkuste kohaselt. Detailplaneeringuga kavandatud hoonestusala jääb väljapoole püsielupaika ning Tatra jõe kaitsevööndeid ning planeeringulahendusega ei kavandata nimetatud aladel tegevusi. Eelnevast tulenevalt ei kahjusta planeering kaitseala kaitse väärtuseid, mistõttu nõustume Kambja vallas Aakaru külas asuva katastriüksuse Lohu detailplaneeringu lahendusega ning kooskõlastame selle.</w:t>
            </w:r>
          </w:p>
        </w:tc>
        <w:tc>
          <w:tcPr>
            <w:tcW w:w="4188" w:type="dxa"/>
          </w:tcPr>
          <w:p w14:paraId="2FC996CD" w14:textId="4894C61B" w:rsidR="001C6753" w:rsidRPr="006A499F" w:rsidRDefault="00B2556F" w:rsidP="00CA66E9">
            <w:pPr>
              <w:jc w:val="both"/>
            </w:pPr>
            <w:r>
              <w:t>Arvestatud.</w:t>
            </w:r>
          </w:p>
        </w:tc>
      </w:tr>
    </w:tbl>
    <w:p w14:paraId="348AF955" w14:textId="77777777" w:rsidR="001C6753" w:rsidRDefault="001C6753"/>
    <w:sectPr w:rsidR="001C6753" w:rsidSect="003D7A5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10"/>
    <w:rsid w:val="0001662F"/>
    <w:rsid w:val="001C6753"/>
    <w:rsid w:val="002621DD"/>
    <w:rsid w:val="00263E1F"/>
    <w:rsid w:val="002D68DF"/>
    <w:rsid w:val="00345B84"/>
    <w:rsid w:val="00353980"/>
    <w:rsid w:val="003765AF"/>
    <w:rsid w:val="003D7A5E"/>
    <w:rsid w:val="003F46DA"/>
    <w:rsid w:val="00400167"/>
    <w:rsid w:val="004E706F"/>
    <w:rsid w:val="0059015B"/>
    <w:rsid w:val="005914ED"/>
    <w:rsid w:val="005E31F8"/>
    <w:rsid w:val="00613D10"/>
    <w:rsid w:val="00624C1A"/>
    <w:rsid w:val="00635808"/>
    <w:rsid w:val="00637A1B"/>
    <w:rsid w:val="006A499F"/>
    <w:rsid w:val="009145DE"/>
    <w:rsid w:val="00B2556F"/>
    <w:rsid w:val="00DE21F1"/>
    <w:rsid w:val="00E06646"/>
    <w:rsid w:val="00FE78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482F"/>
  <w15:chartTrackingRefBased/>
  <w15:docId w15:val="{85654C80-4C02-4B46-B3B5-C4B9C075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13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13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13D1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13D1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13D1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13D1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13D1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13D1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13D1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13D1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13D1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13D1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13D1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13D1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13D1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13D1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13D1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13D1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13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13D1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13D1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13D1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13D10"/>
    <w:pPr>
      <w:spacing w:before="160"/>
      <w:jc w:val="center"/>
    </w:pPr>
    <w:rPr>
      <w:i/>
      <w:iCs/>
      <w:color w:val="404040" w:themeColor="text1" w:themeTint="BF"/>
    </w:rPr>
  </w:style>
  <w:style w:type="character" w:customStyle="1" w:styleId="TsitaatMrk">
    <w:name w:val="Tsitaat Märk"/>
    <w:basedOn w:val="Liguvaikefont"/>
    <w:link w:val="Tsitaat"/>
    <w:uiPriority w:val="29"/>
    <w:rsid w:val="00613D10"/>
    <w:rPr>
      <w:i/>
      <w:iCs/>
      <w:color w:val="404040" w:themeColor="text1" w:themeTint="BF"/>
    </w:rPr>
  </w:style>
  <w:style w:type="paragraph" w:styleId="Loendilik">
    <w:name w:val="List Paragraph"/>
    <w:basedOn w:val="Normaallaad"/>
    <w:uiPriority w:val="34"/>
    <w:qFormat/>
    <w:rsid w:val="00613D10"/>
    <w:pPr>
      <w:ind w:left="720"/>
      <w:contextualSpacing/>
    </w:pPr>
  </w:style>
  <w:style w:type="character" w:styleId="Selgeltmrgatavrhutus">
    <w:name w:val="Intense Emphasis"/>
    <w:basedOn w:val="Liguvaikefont"/>
    <w:uiPriority w:val="21"/>
    <w:qFormat/>
    <w:rsid w:val="00613D10"/>
    <w:rPr>
      <w:i/>
      <w:iCs/>
      <w:color w:val="0F4761" w:themeColor="accent1" w:themeShade="BF"/>
    </w:rPr>
  </w:style>
  <w:style w:type="paragraph" w:styleId="Selgeltmrgatavtsitaat">
    <w:name w:val="Intense Quote"/>
    <w:basedOn w:val="Normaallaad"/>
    <w:next w:val="Normaallaad"/>
    <w:link w:val="SelgeltmrgatavtsitaatMrk"/>
    <w:uiPriority w:val="30"/>
    <w:qFormat/>
    <w:rsid w:val="00613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13D10"/>
    <w:rPr>
      <w:i/>
      <w:iCs/>
      <w:color w:val="0F4761" w:themeColor="accent1" w:themeShade="BF"/>
    </w:rPr>
  </w:style>
  <w:style w:type="character" w:styleId="Selgeltmrgatavviide">
    <w:name w:val="Intense Reference"/>
    <w:basedOn w:val="Liguvaikefont"/>
    <w:uiPriority w:val="32"/>
    <w:qFormat/>
    <w:rsid w:val="00613D10"/>
    <w:rPr>
      <w:b/>
      <w:bCs/>
      <w:smallCaps/>
      <w:color w:val="0F4761" w:themeColor="accent1" w:themeShade="BF"/>
      <w:spacing w:val="5"/>
    </w:rPr>
  </w:style>
  <w:style w:type="table" w:styleId="Kontuurtabel">
    <w:name w:val="Table Grid"/>
    <w:basedOn w:val="Normaaltabel"/>
    <w:uiPriority w:val="39"/>
    <w:rsid w:val="003D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15B"/>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FE7F-E6D2-4AE3-9488-5DDC3A00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812</Words>
  <Characters>4714</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Umal-Järvesaar</dc:creator>
  <cp:keywords/>
  <dc:description/>
  <cp:lastModifiedBy>Kätlin Jõgiste</cp:lastModifiedBy>
  <cp:revision>15</cp:revision>
  <dcterms:created xsi:type="dcterms:W3CDTF">2025-09-25T13:43:00Z</dcterms:created>
  <dcterms:modified xsi:type="dcterms:W3CDTF">2026-07-10T07:45:00Z</dcterms:modified>
</cp:coreProperties>
</file>